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53BD3">
      <w:pPr>
        <w:pStyle w:val="6"/>
        <w:ind w:left="-360" w:firstLine="360"/>
        <w:jc w:val="left"/>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drawing>
          <wp:inline distT="0" distB="0" distL="0" distR="0">
            <wp:extent cx="1295400" cy="11811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4"/>
                    <a:srcRect/>
                    <a:stretch>
                      <a:fillRect/>
                    </a:stretch>
                  </pic:blipFill>
                  <pic:spPr>
                    <a:xfrm>
                      <a:off x="0" y="0"/>
                      <a:ext cx="1295400" cy="1181100"/>
                    </a:xfrm>
                    <a:prstGeom prst="rect">
                      <a:avLst/>
                    </a:prstGeom>
                    <a:noFill/>
                  </pic:spPr>
                </pic:pic>
              </a:graphicData>
            </a:graphic>
          </wp:inline>
        </w:drawing>
      </w:r>
      <w:r>
        <w:t xml:space="preserve">                      </w:t>
      </w:r>
      <w:r>
        <w:rPr>
          <w:rFonts w:hint="default"/>
          <w:lang w:val="en-US"/>
        </w:rPr>
        <w:t xml:space="preserve">                                                                 </w:t>
      </w:r>
      <w:r>
        <w:rPr>
          <w:rFonts w:ascii="SimSun" w:hAnsi="SimSun" w:eastAsia="SimSun" w:cs="SimSun"/>
          <w:sz w:val="24"/>
          <w:szCs w:val="24"/>
        </w:rPr>
        <w:drawing>
          <wp:inline distT="0" distB="0" distL="114300" distR="114300">
            <wp:extent cx="1200150" cy="1214755"/>
            <wp:effectExtent l="0" t="0" r="0" b="4445"/>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5"/>
                    <a:stretch>
                      <a:fillRect/>
                    </a:stretch>
                  </pic:blipFill>
                  <pic:spPr>
                    <a:xfrm>
                      <a:off x="0" y="0"/>
                      <a:ext cx="1200150" cy="1214755"/>
                    </a:xfrm>
                    <a:prstGeom prst="rect">
                      <a:avLst/>
                    </a:prstGeom>
                    <a:noFill/>
                    <a:ln w="9525">
                      <a:noFill/>
                    </a:ln>
                  </pic:spPr>
                </pic:pic>
              </a:graphicData>
            </a:graphic>
          </wp:inline>
        </w:drawing>
      </w:r>
      <w:r>
        <w:rPr>
          <w:rFonts w:hint="default"/>
          <w:lang w:val="en-US"/>
        </w:rPr>
        <w:t xml:space="preserve">            </w:t>
      </w:r>
      <w:r>
        <w:t xml:space="preserve">  </w:t>
      </w:r>
    </w:p>
    <w:p w14:paraId="20516431">
      <w:pPr>
        <w:pStyle w:val="6"/>
        <w:ind w:left="-360" w:firstLine="360"/>
        <w:jc w:val="center"/>
        <w:rPr>
          <w:rFonts w:ascii="Times New Roman" w:hAnsi="Times New Roman" w:cs="Times New Roman"/>
          <w:b/>
          <w:bCs/>
          <w:color w:val="000000" w:themeColor="text1"/>
          <w:sz w:val="28"/>
          <w:szCs w:val="28"/>
          <w14:textFill>
            <w14:solidFill>
              <w14:schemeClr w14:val="tx1"/>
            </w14:solidFill>
          </w14:textFill>
        </w:rPr>
      </w:pPr>
    </w:p>
    <w:p w14:paraId="561F44AF">
      <w:pPr>
        <w:pStyle w:val="6"/>
        <w:ind w:left="-360" w:firstLine="36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KONGUNADU ARTS AND SCIENCE COLLEGE</w:t>
      </w:r>
    </w:p>
    <w:p w14:paraId="51C99687">
      <w:pPr>
        <w:pStyle w:val="6"/>
        <w:ind w:left="1440" w:hanging="1260"/>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Re-accredited by NAAC with ‘A+’ Grade (4</w:t>
      </w:r>
      <w:r>
        <w:rPr>
          <w:rFonts w:ascii="Times New Roman" w:hAnsi="Times New Roman" w:cs="Times New Roman"/>
          <w:bCs/>
          <w:color w:val="000000" w:themeColor="text1"/>
          <w:sz w:val="24"/>
          <w:szCs w:val="24"/>
          <w:vertAlign w:val="superscript"/>
          <w14:textFill>
            <w14:solidFill>
              <w14:schemeClr w14:val="tx1"/>
            </w14:solidFill>
          </w14:textFill>
        </w:rPr>
        <w:t>th</w:t>
      </w:r>
      <w:r>
        <w:rPr>
          <w:rFonts w:ascii="Times New Roman" w:hAnsi="Times New Roman" w:cs="Times New Roman"/>
          <w:bCs/>
          <w:color w:val="000000" w:themeColor="text1"/>
          <w:sz w:val="24"/>
          <w:szCs w:val="24"/>
          <w14:textFill>
            <w14:solidFill>
              <w14:schemeClr w14:val="tx1"/>
            </w14:solidFill>
          </w14:textFill>
        </w:rPr>
        <w:t xml:space="preserve"> Cycle)</w:t>
      </w:r>
    </w:p>
    <w:p w14:paraId="07F0481E">
      <w:pPr>
        <w:pStyle w:val="6"/>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(Autonomous)</w:t>
      </w:r>
    </w:p>
    <w:p w14:paraId="64EF30EF">
      <w:pPr>
        <w:pStyle w:val="6"/>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   College of Excellence (UGC) </w:t>
      </w:r>
    </w:p>
    <w:p w14:paraId="604F94DD">
      <w:pPr>
        <w:pStyle w:val="6"/>
        <w:jc w:val="center"/>
        <w:rPr>
          <w:rFonts w:hint="default" w:ascii="Times New Roman" w:hAnsi="Times New Roman" w:cs="Times New Roman"/>
          <w:i/>
          <w:color w:val="000000" w:themeColor="text1"/>
          <w:sz w:val="24"/>
          <w:szCs w:val="24"/>
          <w:lang w:val="en-US"/>
          <w14:textFill>
            <w14:solidFill>
              <w14:schemeClr w14:val="tx1"/>
            </w14:solidFill>
          </w14:textFill>
        </w:rPr>
      </w:pPr>
      <w:r>
        <w:rPr>
          <w:rFonts w:hint="default" w:ascii="Times New Roman" w:hAnsi="Times New Roman" w:cs="Times New Roman"/>
          <w:i/>
          <w:color w:val="000000" w:themeColor="text1"/>
          <w:sz w:val="24"/>
          <w:szCs w:val="24"/>
          <w:lang w:val="en-US"/>
          <w14:textFill>
            <w14:solidFill>
              <w14:schemeClr w14:val="tx1"/>
            </w14:solidFill>
          </w14:textFill>
        </w:rPr>
        <w:t>Coimbatore- 641029, Tamilnadu, India</w:t>
      </w:r>
    </w:p>
    <w:p w14:paraId="3210D97A">
      <w:pPr>
        <w:pStyle w:val="6"/>
        <w:jc w:val="center"/>
        <w:rPr>
          <w:rFonts w:hint="default" w:ascii="Times New Roman" w:hAnsi="Times New Roman" w:cs="Times New Roman"/>
          <w:i/>
          <w:color w:val="000000" w:themeColor="text1"/>
          <w:sz w:val="24"/>
          <w:szCs w:val="24"/>
          <w:lang w:val="en-US"/>
          <w14:textFill>
            <w14:solidFill>
              <w14:schemeClr w14:val="tx1"/>
            </w14:solidFill>
          </w14:textFill>
        </w:rPr>
      </w:pPr>
      <w:r>
        <w:rPr>
          <w:rFonts w:hint="default" w:ascii="Times New Roman" w:hAnsi="Times New Roman" w:cs="Times New Roman"/>
          <w:i/>
          <w:color w:val="000000" w:themeColor="text1"/>
          <w:sz w:val="24"/>
          <w:szCs w:val="24"/>
          <w:lang w:val="en-US"/>
          <w14:textFill>
            <w14:solidFill>
              <w14:schemeClr w14:val="tx1"/>
            </w14:solidFill>
          </w14:textFill>
        </w:rPr>
        <w:t xml:space="preserve">DEPARTMENT OF BUSINESS ADMINISTRATION WITH COMPUTER APPLICATIONS </w:t>
      </w:r>
    </w:p>
    <w:tbl>
      <w:tblPr>
        <w:tblStyle w:val="5"/>
        <w:tblpPr w:leftFromText="180" w:rightFromText="180" w:vertAnchor="page" w:horzAnchor="page" w:tblpX="1674" w:tblpY="572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7077"/>
      </w:tblGrid>
      <w:tr w14:paraId="1E30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21E15B67">
            <w:pPr>
              <w:pStyle w:val="6"/>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Title of the programme</w:t>
            </w:r>
          </w:p>
        </w:tc>
        <w:tc>
          <w:tcPr>
            <w:tcW w:w="7077" w:type="dxa"/>
          </w:tcPr>
          <w:p w14:paraId="5D3F361A">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Introduction to Capital Markets </w:t>
            </w:r>
          </w:p>
          <w:p w14:paraId="4FB66558">
            <w:pPr>
              <w:widowControl w:val="0"/>
              <w:jc w:val="both"/>
              <w:rPr>
                <w:rFonts w:hint="default" w:ascii="Times New Roman" w:hAnsi="Times New Roman" w:cs="Times New Roman"/>
                <w:sz w:val="24"/>
                <w:szCs w:val="24"/>
                <w:vertAlign w:val="baseline"/>
                <w:lang w:val="en-US"/>
              </w:rPr>
            </w:pPr>
          </w:p>
        </w:tc>
      </w:tr>
      <w:tr w14:paraId="51CA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40DF709F">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Date</w:t>
            </w:r>
          </w:p>
        </w:tc>
        <w:tc>
          <w:tcPr>
            <w:tcW w:w="7077" w:type="dxa"/>
          </w:tcPr>
          <w:p w14:paraId="4AE96A38">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01.09.2026</w:t>
            </w:r>
          </w:p>
          <w:p w14:paraId="36B7A71D">
            <w:pPr>
              <w:widowControl w:val="0"/>
              <w:jc w:val="both"/>
              <w:rPr>
                <w:rFonts w:hint="default" w:ascii="Times New Roman" w:hAnsi="Times New Roman" w:cs="Times New Roman"/>
                <w:sz w:val="24"/>
                <w:szCs w:val="24"/>
                <w:vertAlign w:val="baseline"/>
                <w:lang w:val="en-US"/>
              </w:rPr>
            </w:pPr>
          </w:p>
        </w:tc>
      </w:tr>
      <w:tr w14:paraId="5A37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11A6828B">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Time</w:t>
            </w:r>
          </w:p>
        </w:tc>
        <w:tc>
          <w:tcPr>
            <w:tcW w:w="7077" w:type="dxa"/>
          </w:tcPr>
          <w:p w14:paraId="62982882">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10.00 AM to 11.00 AM</w:t>
            </w:r>
          </w:p>
          <w:p w14:paraId="59CD0057">
            <w:pPr>
              <w:widowControl w:val="0"/>
              <w:jc w:val="both"/>
              <w:rPr>
                <w:rFonts w:hint="default" w:ascii="Times New Roman" w:hAnsi="Times New Roman" w:cs="Times New Roman"/>
                <w:sz w:val="24"/>
                <w:szCs w:val="24"/>
                <w:vertAlign w:val="baseline"/>
                <w:lang w:val="en-US"/>
              </w:rPr>
            </w:pPr>
          </w:p>
        </w:tc>
      </w:tr>
      <w:tr w14:paraId="12BE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0C146053">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Venue of the Programme</w:t>
            </w:r>
          </w:p>
        </w:tc>
        <w:tc>
          <w:tcPr>
            <w:tcW w:w="7077" w:type="dxa"/>
          </w:tcPr>
          <w:p w14:paraId="378965B3">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F 14A</w:t>
            </w:r>
            <w:bookmarkStart w:id="0" w:name="_GoBack"/>
            <w:bookmarkEnd w:id="0"/>
          </w:p>
          <w:p w14:paraId="0363272E">
            <w:pPr>
              <w:widowControl w:val="0"/>
              <w:jc w:val="both"/>
              <w:rPr>
                <w:rFonts w:hint="default" w:ascii="Times New Roman" w:hAnsi="Times New Roman" w:cs="Times New Roman"/>
                <w:sz w:val="24"/>
                <w:szCs w:val="24"/>
                <w:vertAlign w:val="baseline"/>
                <w:lang w:val="en-US"/>
              </w:rPr>
            </w:pPr>
          </w:p>
        </w:tc>
      </w:tr>
      <w:tr w14:paraId="7D7E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1CA161A5">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Objective of the Programme</w:t>
            </w:r>
          </w:p>
        </w:tc>
        <w:tc>
          <w:tcPr>
            <w:tcW w:w="7077" w:type="dxa"/>
          </w:tcPr>
          <w:p w14:paraId="04923B7E">
            <w:pPr>
              <w:widowControl w:val="0"/>
              <w:jc w:val="both"/>
              <w:rPr>
                <w:rFonts w:hint="default" w:ascii="Times New Roman" w:hAnsi="Times New Roman" w:cs="Times New Roman"/>
                <w:sz w:val="24"/>
                <w:szCs w:val="24"/>
                <w:vertAlign w:val="baseline"/>
                <w:lang w:val="en-US"/>
              </w:rPr>
            </w:pPr>
            <w:r>
              <w:rPr>
                <w:rFonts w:hint="default" w:ascii="Times New Roman" w:hAnsi="Times New Roman" w:eastAsia="SimSun" w:cs="Times New Roman"/>
                <w:sz w:val="24"/>
                <w:szCs w:val="24"/>
                <w:lang w:val="en-US"/>
              </w:rPr>
              <w:t>T</w:t>
            </w:r>
            <w:r>
              <w:rPr>
                <w:rFonts w:hint="default" w:ascii="Times New Roman" w:hAnsi="Times New Roman" w:eastAsia="SimSun" w:cs="Times New Roman"/>
                <w:sz w:val="24"/>
                <w:szCs w:val="24"/>
              </w:rPr>
              <w:t>o provide students with a basic understanding of the stock market and online share trading. The programme aimed to familiarize students with the concept, features, and functions of a DEMAT account and provide practical knowledge about buying and selling shares through online trading platforms. It also focused on creating awareness about market trends, investment strategies, risk and return, and responsible investment practices. The programme focused on enhancing students’ understanding of financial markets and developing their investment decision-making skills..</w:t>
            </w:r>
          </w:p>
        </w:tc>
      </w:tr>
      <w:tr w14:paraId="18F7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7D6ECD4B">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Details of the Resource person</w:t>
            </w:r>
          </w:p>
        </w:tc>
        <w:tc>
          <w:tcPr>
            <w:tcW w:w="7077" w:type="dxa"/>
          </w:tcPr>
          <w:p w14:paraId="53050311">
            <w:pPr>
              <w:widowControl w:val="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Mr.Karthik Prabhu.T, Channel Partner and Mr.Ramesh .R, Cluster Manager from Angel One Ltd.</w:t>
            </w:r>
          </w:p>
          <w:p w14:paraId="3E0A153E">
            <w:pPr>
              <w:widowControl w:val="0"/>
              <w:jc w:val="both"/>
              <w:rPr>
                <w:rFonts w:hint="default" w:ascii="Times New Roman" w:hAnsi="Times New Roman" w:cs="Times New Roman"/>
                <w:sz w:val="24"/>
                <w:szCs w:val="24"/>
                <w:vertAlign w:val="baseline"/>
              </w:rPr>
            </w:pPr>
          </w:p>
        </w:tc>
      </w:tr>
      <w:tr w14:paraId="0A95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76AF3D89">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Title of the Invited Talk (s)/ technical Session (If Applicable)</w:t>
            </w:r>
          </w:p>
        </w:tc>
        <w:tc>
          <w:tcPr>
            <w:tcW w:w="7077" w:type="dxa"/>
          </w:tcPr>
          <w:p w14:paraId="09119BB9">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Online Share Trading using DEMAT account. </w:t>
            </w:r>
          </w:p>
          <w:p w14:paraId="26337B40">
            <w:pPr>
              <w:widowControl w:val="0"/>
              <w:jc w:val="both"/>
              <w:rPr>
                <w:rFonts w:hint="default" w:ascii="Times New Roman" w:hAnsi="Times New Roman" w:cs="Times New Roman"/>
                <w:sz w:val="24"/>
                <w:szCs w:val="24"/>
                <w:vertAlign w:val="baseline"/>
              </w:rPr>
            </w:pPr>
          </w:p>
          <w:p w14:paraId="2B140E7E">
            <w:pPr>
              <w:widowControl w:val="0"/>
              <w:jc w:val="both"/>
              <w:rPr>
                <w:rFonts w:hint="default" w:ascii="Times New Roman" w:hAnsi="Times New Roman" w:cs="Times New Roman"/>
                <w:sz w:val="24"/>
                <w:szCs w:val="24"/>
                <w:vertAlign w:val="baseline"/>
              </w:rPr>
            </w:pPr>
          </w:p>
          <w:p w14:paraId="26546036">
            <w:pPr>
              <w:widowControl w:val="0"/>
              <w:jc w:val="both"/>
              <w:rPr>
                <w:rFonts w:hint="default" w:ascii="Times New Roman" w:hAnsi="Times New Roman" w:cs="Times New Roman"/>
                <w:sz w:val="24"/>
                <w:szCs w:val="24"/>
                <w:vertAlign w:val="baseline"/>
              </w:rPr>
            </w:pPr>
          </w:p>
          <w:p w14:paraId="19526C1E">
            <w:pPr>
              <w:widowControl w:val="0"/>
              <w:jc w:val="both"/>
              <w:rPr>
                <w:rFonts w:hint="default" w:ascii="Times New Roman" w:hAnsi="Times New Roman" w:cs="Times New Roman"/>
                <w:sz w:val="24"/>
                <w:szCs w:val="24"/>
                <w:vertAlign w:val="baseline"/>
              </w:rPr>
            </w:pPr>
          </w:p>
          <w:p w14:paraId="08096AED">
            <w:pPr>
              <w:widowControl w:val="0"/>
              <w:jc w:val="both"/>
              <w:rPr>
                <w:rFonts w:hint="default" w:ascii="Times New Roman" w:hAnsi="Times New Roman" w:cs="Times New Roman"/>
                <w:sz w:val="24"/>
                <w:szCs w:val="24"/>
                <w:vertAlign w:val="baseline"/>
              </w:rPr>
            </w:pPr>
          </w:p>
          <w:p w14:paraId="72863519">
            <w:pPr>
              <w:widowControl w:val="0"/>
              <w:jc w:val="both"/>
              <w:rPr>
                <w:rFonts w:hint="default" w:ascii="Times New Roman" w:hAnsi="Times New Roman" w:cs="Times New Roman"/>
                <w:sz w:val="24"/>
                <w:szCs w:val="24"/>
                <w:vertAlign w:val="baseline"/>
              </w:rPr>
            </w:pPr>
          </w:p>
          <w:p w14:paraId="54811F37">
            <w:pPr>
              <w:widowControl w:val="0"/>
              <w:jc w:val="both"/>
              <w:rPr>
                <w:rFonts w:hint="default" w:ascii="Times New Roman" w:hAnsi="Times New Roman" w:cs="Times New Roman"/>
                <w:sz w:val="24"/>
                <w:szCs w:val="24"/>
                <w:vertAlign w:val="baseline"/>
              </w:rPr>
            </w:pPr>
          </w:p>
        </w:tc>
      </w:tr>
      <w:tr w14:paraId="54E5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163E3B1A">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Outcome of the Programme</w:t>
            </w:r>
          </w:p>
        </w:tc>
        <w:tc>
          <w:tcPr>
            <w:tcW w:w="7077" w:type="dxa"/>
          </w:tcPr>
          <w:p w14:paraId="09ABA132">
            <w:pPr>
              <w:widowControl w:val="0"/>
              <w:jc w:val="both"/>
              <w:rPr>
                <w:rFonts w:hint="default" w:ascii="Times New Roman" w:hAnsi="Times New Roman" w:cs="Times New Roman"/>
                <w:sz w:val="24"/>
                <w:szCs w:val="24"/>
                <w:vertAlign w:val="baseline"/>
              </w:rPr>
            </w:pPr>
            <w:r>
              <w:rPr>
                <w:rFonts w:hint="default" w:ascii="Times New Roman" w:hAnsi="Times New Roman" w:eastAsia="SimSun" w:cs="Times New Roman"/>
                <w:b w:val="0"/>
                <w:bCs w:val="0"/>
                <w:sz w:val="24"/>
                <w:szCs w:val="24"/>
              </w:rPr>
              <w:t xml:space="preserve">The programme enabled students to gain a practical understanding of </w:t>
            </w:r>
            <w:r>
              <w:rPr>
                <w:rStyle w:val="4"/>
                <w:rFonts w:hint="default" w:ascii="Times New Roman" w:hAnsi="Times New Roman" w:eastAsia="SimSun" w:cs="Times New Roman"/>
                <w:b w:val="0"/>
                <w:bCs w:val="0"/>
                <w:sz w:val="24"/>
                <w:szCs w:val="24"/>
              </w:rPr>
              <w:t>online share trading and DEMAT accounts</w:t>
            </w:r>
            <w:r>
              <w:rPr>
                <w:rFonts w:hint="default" w:ascii="Times New Roman" w:hAnsi="Times New Roman" w:eastAsia="SimSun" w:cs="Times New Roman"/>
                <w:b w:val="0"/>
                <w:bCs w:val="0"/>
                <w:sz w:val="24"/>
                <w:szCs w:val="24"/>
              </w:rPr>
              <w:t xml:space="preserve">. Students became familiar with the process of opening and operating a DEMAT and trading account, placing buy and sell orders, and monitoring share prices through online platforms. The session also improved their awareness of </w:t>
            </w:r>
            <w:r>
              <w:rPr>
                <w:rStyle w:val="4"/>
                <w:rFonts w:hint="default" w:ascii="Times New Roman" w:hAnsi="Times New Roman" w:eastAsia="SimSun" w:cs="Times New Roman"/>
                <w:b w:val="0"/>
                <w:bCs w:val="0"/>
                <w:sz w:val="24"/>
                <w:szCs w:val="24"/>
              </w:rPr>
              <w:t>stock market operations, investment opportunities, risk management, and market trends</w:t>
            </w:r>
            <w:r>
              <w:rPr>
                <w:rFonts w:hint="default" w:ascii="Times New Roman" w:hAnsi="Times New Roman" w:eastAsia="SimSun" w:cs="Times New Roman"/>
                <w:b w:val="0"/>
                <w:bCs w:val="0"/>
                <w:sz w:val="24"/>
                <w:szCs w:val="24"/>
              </w:rPr>
              <w:t xml:space="preserve">. Overall, the programme enhanced students’ </w:t>
            </w:r>
            <w:r>
              <w:rPr>
                <w:rStyle w:val="4"/>
                <w:rFonts w:hint="default" w:ascii="Times New Roman" w:hAnsi="Times New Roman" w:eastAsia="SimSun" w:cs="Times New Roman"/>
                <w:b w:val="0"/>
                <w:bCs w:val="0"/>
                <w:sz w:val="24"/>
                <w:szCs w:val="24"/>
              </w:rPr>
              <w:t>financial knowledge, investment awareness, and confidence in making  investment decisions</w:t>
            </w:r>
            <w:r>
              <w:rPr>
                <w:rFonts w:hint="default" w:ascii="Times New Roman" w:hAnsi="Times New Roman" w:eastAsia="SimSun" w:cs="Times New Roman"/>
                <w:b w:val="0"/>
                <w:bCs w:val="0"/>
                <w:sz w:val="24"/>
                <w:szCs w:val="24"/>
              </w:rPr>
              <w:t>.</w:t>
            </w:r>
          </w:p>
        </w:tc>
      </w:tr>
      <w:tr w14:paraId="29D5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1DB155DA">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Number of Beneficiaries(Both Staff &amp; Student)</w:t>
            </w:r>
          </w:p>
        </w:tc>
        <w:tc>
          <w:tcPr>
            <w:tcW w:w="7077" w:type="dxa"/>
          </w:tcPr>
          <w:p w14:paraId="060FFC12">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 Staffs</w:t>
            </w:r>
          </w:p>
          <w:p w14:paraId="32C57FC2">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rPr>
              <w:t xml:space="preserve">50 students </w:t>
            </w:r>
          </w:p>
          <w:p w14:paraId="65C3400C">
            <w:pPr>
              <w:widowControl w:val="0"/>
              <w:jc w:val="both"/>
              <w:rPr>
                <w:rFonts w:hint="default" w:ascii="Times New Roman" w:hAnsi="Times New Roman" w:cs="Times New Roman"/>
                <w:sz w:val="24"/>
                <w:szCs w:val="24"/>
                <w:vertAlign w:val="baseline"/>
                <w:lang w:val="en-US"/>
              </w:rPr>
            </w:pPr>
          </w:p>
          <w:p w14:paraId="452E9DF9">
            <w:pPr>
              <w:widowControl w:val="0"/>
              <w:jc w:val="both"/>
              <w:rPr>
                <w:rFonts w:hint="default" w:ascii="Times New Roman" w:hAnsi="Times New Roman" w:cs="Times New Roman"/>
                <w:sz w:val="24"/>
                <w:szCs w:val="24"/>
                <w:vertAlign w:val="baseline"/>
              </w:rPr>
            </w:pPr>
          </w:p>
          <w:p w14:paraId="50378B25">
            <w:pPr>
              <w:widowControl w:val="0"/>
              <w:jc w:val="both"/>
              <w:rPr>
                <w:rFonts w:hint="default" w:ascii="Times New Roman" w:hAnsi="Times New Roman" w:cs="Times New Roman"/>
                <w:sz w:val="24"/>
                <w:szCs w:val="24"/>
                <w:vertAlign w:val="baseline"/>
              </w:rPr>
            </w:pPr>
          </w:p>
        </w:tc>
      </w:tr>
      <w:tr w14:paraId="2323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tcPr>
          <w:p w14:paraId="3817F73E">
            <w:pPr>
              <w:widowControl w:val="0"/>
              <w:jc w:val="both"/>
              <w:rPr>
                <w:rFonts w:hint="default" w:ascii="Times New Roman" w:hAnsi="Times New Roman" w:cs="Times New Roman"/>
                <w:sz w:val="24"/>
                <w:szCs w:val="24"/>
                <w:vertAlign w:val="baseline"/>
                <w:lang w:val="en-US"/>
              </w:rPr>
            </w:pPr>
          </w:p>
          <w:p w14:paraId="34EFA7FB">
            <w:pPr>
              <w:widowControl w:val="0"/>
              <w:jc w:val="both"/>
              <w:rPr>
                <w:rFonts w:hint="default" w:ascii="Times New Roman" w:hAnsi="Times New Roman" w:cs="Times New Roman"/>
                <w:sz w:val="24"/>
                <w:szCs w:val="24"/>
                <w:vertAlign w:val="baseline"/>
                <w:lang w:val="en-US"/>
              </w:rPr>
            </w:pPr>
          </w:p>
          <w:p w14:paraId="38DE873C">
            <w:pPr>
              <w:widowControl w:val="0"/>
              <w:jc w:val="both"/>
              <w:rPr>
                <w:rFonts w:hint="default" w:ascii="Times New Roman" w:hAnsi="Times New Roman" w:cs="Times New Roman"/>
                <w:sz w:val="24"/>
                <w:szCs w:val="24"/>
                <w:vertAlign w:val="baseline"/>
                <w:lang w:val="en-US"/>
              </w:rPr>
            </w:pPr>
          </w:p>
          <w:p w14:paraId="5436B97B">
            <w:pPr>
              <w:widowControl w:val="0"/>
              <w:jc w:val="both"/>
              <w:rPr>
                <w:rFonts w:hint="default" w:ascii="Times New Roman" w:hAnsi="Times New Roman" w:cs="Times New Roman"/>
                <w:sz w:val="24"/>
                <w:szCs w:val="24"/>
                <w:vertAlign w:val="baseline"/>
                <w:lang w:val="en-US"/>
              </w:rPr>
            </w:pPr>
          </w:p>
          <w:p w14:paraId="76CE53CE">
            <w:pPr>
              <w:widowControl w:val="0"/>
              <w:jc w:val="both"/>
              <w:rPr>
                <w:rFonts w:hint="default" w:ascii="Times New Roman" w:hAnsi="Times New Roman" w:cs="Times New Roman"/>
                <w:sz w:val="24"/>
                <w:szCs w:val="24"/>
                <w:vertAlign w:val="baseline"/>
                <w:lang w:val="en-US"/>
              </w:rPr>
            </w:pPr>
          </w:p>
          <w:p w14:paraId="0243AE74">
            <w:pPr>
              <w:widowControl w:val="0"/>
              <w:jc w:val="both"/>
              <w:rPr>
                <w:rFonts w:hint="default" w:ascii="Times New Roman" w:hAnsi="Times New Roman" w:cs="Times New Roman"/>
                <w:sz w:val="24"/>
                <w:szCs w:val="24"/>
                <w:vertAlign w:val="baseline"/>
                <w:lang w:val="en-US"/>
              </w:rPr>
            </w:pPr>
          </w:p>
          <w:p w14:paraId="0BA36AE2">
            <w:pPr>
              <w:widowControl w:val="0"/>
              <w:jc w:val="both"/>
              <w:rPr>
                <w:rFonts w:hint="default" w:ascii="Times New Roman" w:hAnsi="Times New Roman" w:cs="Times New Roman"/>
                <w:sz w:val="24"/>
                <w:szCs w:val="24"/>
                <w:vertAlign w:val="baseline"/>
                <w:lang w:val="en-US"/>
              </w:rPr>
            </w:pPr>
          </w:p>
          <w:p w14:paraId="00188265">
            <w:pPr>
              <w:widowControl w:val="0"/>
              <w:jc w:val="both"/>
              <w:rPr>
                <w:rFonts w:hint="default" w:ascii="Times New Roman" w:hAnsi="Times New Roman" w:cs="Times New Roman"/>
                <w:sz w:val="24"/>
                <w:szCs w:val="24"/>
                <w:vertAlign w:val="baseline"/>
                <w:lang w:val="en-US"/>
              </w:rPr>
            </w:pPr>
          </w:p>
          <w:p w14:paraId="41D08078">
            <w:pPr>
              <w:widowControl w:val="0"/>
              <w:jc w:val="both"/>
              <w:rPr>
                <w:rFonts w:hint="default" w:ascii="Times New Roman" w:hAnsi="Times New Roman" w:cs="Times New Roman"/>
                <w:sz w:val="24"/>
                <w:szCs w:val="24"/>
                <w:vertAlign w:val="baseline"/>
                <w:lang w:val="en-US"/>
              </w:rPr>
            </w:pPr>
          </w:p>
          <w:p w14:paraId="04EF5979">
            <w:pPr>
              <w:widowControl w:val="0"/>
              <w:jc w:val="both"/>
              <w:rPr>
                <w:rFonts w:hint="default" w:ascii="Times New Roman" w:hAnsi="Times New Roman" w:cs="Times New Roman"/>
                <w:sz w:val="24"/>
                <w:szCs w:val="24"/>
                <w:vertAlign w:val="baseline"/>
                <w:lang w:val="en-US"/>
              </w:rPr>
            </w:pPr>
          </w:p>
          <w:p w14:paraId="79B463C0">
            <w:pPr>
              <w:widowControl w:val="0"/>
              <w:jc w:val="both"/>
              <w:rPr>
                <w:rFonts w:hint="default" w:ascii="Times New Roman" w:hAnsi="Times New Roman" w:cs="Times New Roman"/>
                <w:sz w:val="24"/>
                <w:szCs w:val="24"/>
                <w:vertAlign w:val="baseline"/>
                <w:lang w:val="en-US"/>
              </w:rPr>
            </w:pPr>
          </w:p>
          <w:p w14:paraId="5BD9C1DB">
            <w:pPr>
              <w:widowControl w:val="0"/>
              <w:jc w:val="both"/>
              <w:rPr>
                <w:rFonts w:hint="default" w:ascii="Times New Roman" w:hAnsi="Times New Roman" w:cs="Times New Roman"/>
                <w:sz w:val="24"/>
                <w:szCs w:val="24"/>
                <w:vertAlign w:val="baseline"/>
                <w:lang w:val="en-US"/>
              </w:rPr>
            </w:pPr>
          </w:p>
          <w:p w14:paraId="24B26927">
            <w:pPr>
              <w:widowControl w:val="0"/>
              <w:jc w:val="both"/>
              <w:rPr>
                <w:rFonts w:hint="default" w:ascii="Times New Roman" w:hAnsi="Times New Roman" w:cs="Times New Roman"/>
                <w:sz w:val="24"/>
                <w:szCs w:val="24"/>
                <w:vertAlign w:val="baseline"/>
                <w:lang w:val="en-US"/>
              </w:rPr>
            </w:pPr>
          </w:p>
          <w:p w14:paraId="5484D422">
            <w:pPr>
              <w:widowControl w:val="0"/>
              <w:jc w:val="both"/>
              <w:rPr>
                <w:rFonts w:hint="default" w:ascii="Times New Roman" w:hAnsi="Times New Roman" w:cs="Times New Roman"/>
                <w:sz w:val="24"/>
                <w:szCs w:val="24"/>
                <w:vertAlign w:val="baseline"/>
                <w:lang w:val="en-US"/>
              </w:rPr>
            </w:pPr>
          </w:p>
          <w:p w14:paraId="2EED2C74">
            <w:pPr>
              <w:widowControl w:val="0"/>
              <w:jc w:val="both"/>
              <w:rPr>
                <w:rFonts w:hint="default" w:ascii="Times New Roman" w:hAnsi="Times New Roman" w:cs="Times New Roman"/>
                <w:sz w:val="24"/>
                <w:szCs w:val="24"/>
                <w:vertAlign w:val="baseline"/>
                <w:lang w:val="en-US"/>
              </w:rPr>
            </w:pPr>
          </w:p>
          <w:p w14:paraId="33A9FC95">
            <w:pPr>
              <w:widowControl w:val="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Geotag Photos. Max4 Nos. </w:t>
            </w:r>
          </w:p>
        </w:tc>
        <w:tc>
          <w:tcPr>
            <w:tcW w:w="7077" w:type="dxa"/>
          </w:tcPr>
          <w:p w14:paraId="27F3E9FF">
            <w:pPr>
              <w:widowControl w:val="0"/>
              <w:jc w:val="both"/>
              <w:rPr>
                <w:rFonts w:hint="default" w:ascii="Times New Roman" w:hAnsi="Times New Roman" w:cs="Times New Roman"/>
                <w:sz w:val="24"/>
                <w:szCs w:val="24"/>
                <w:vertAlign w:val="baseline"/>
              </w:rPr>
            </w:pPr>
          </w:p>
          <w:p w14:paraId="0E1C52A4">
            <w:pPr>
              <w:widowControl w:val="0"/>
              <w:jc w:val="both"/>
              <w:rPr>
                <w:rFonts w:hint="default" w:ascii="Times New Roman" w:hAnsi="Times New Roman" w:cs="Times New Roman"/>
                <w:sz w:val="24"/>
                <w:szCs w:val="24"/>
                <w:vertAlign w:val="baseline"/>
              </w:rPr>
            </w:pPr>
            <w:r>
              <w:drawing>
                <wp:inline distT="0" distB="0" distL="114300" distR="114300">
                  <wp:extent cx="3690620" cy="2259965"/>
                  <wp:effectExtent l="0" t="0" r="5080" b="698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a:stretch>
                            <a:fillRect/>
                          </a:stretch>
                        </pic:blipFill>
                        <pic:spPr>
                          <a:xfrm>
                            <a:off x="0" y="0"/>
                            <a:ext cx="3690620" cy="2259965"/>
                          </a:xfrm>
                          <a:prstGeom prst="rect">
                            <a:avLst/>
                          </a:prstGeom>
                          <a:noFill/>
                          <a:ln>
                            <a:noFill/>
                          </a:ln>
                        </pic:spPr>
                      </pic:pic>
                    </a:graphicData>
                  </a:graphic>
                </wp:inline>
              </w:drawing>
            </w:r>
          </w:p>
          <w:p w14:paraId="56C79D2E">
            <w:pPr>
              <w:widowControl w:val="0"/>
              <w:jc w:val="both"/>
              <w:rPr>
                <w:rFonts w:hint="default" w:ascii="Times New Roman" w:hAnsi="Times New Roman" w:cs="Times New Roman"/>
                <w:sz w:val="24"/>
                <w:szCs w:val="24"/>
                <w:vertAlign w:val="baseline"/>
              </w:rPr>
            </w:pPr>
            <w:r>
              <w:rPr>
                <w:rFonts w:ascii="SimSun" w:hAnsi="SimSun" w:eastAsia="SimSun" w:cs="SimSun"/>
                <w:sz w:val="24"/>
                <w:szCs w:val="24"/>
              </w:rPr>
              <w:drawing>
                <wp:inline distT="0" distB="0" distL="114300" distR="114300">
                  <wp:extent cx="304800" cy="304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4"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3714115" cy="2680335"/>
                  <wp:effectExtent l="0" t="0" r="635" b="571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pic:cNvPicPr>
                        </pic:nvPicPr>
                        <pic:blipFill>
                          <a:blip r:embed="rId8"/>
                          <a:stretch>
                            <a:fillRect/>
                          </a:stretch>
                        </pic:blipFill>
                        <pic:spPr>
                          <a:xfrm>
                            <a:off x="0" y="0"/>
                            <a:ext cx="3714115" cy="2680335"/>
                          </a:xfrm>
                          <a:prstGeom prst="rect">
                            <a:avLst/>
                          </a:prstGeom>
                          <a:noFill/>
                          <a:ln>
                            <a:noFill/>
                          </a:ln>
                        </pic:spPr>
                      </pic:pic>
                    </a:graphicData>
                  </a:graphic>
                </wp:inline>
              </w:drawing>
            </w:r>
          </w:p>
          <w:p w14:paraId="1C6246C5">
            <w:pPr>
              <w:widowControl w:val="0"/>
              <w:jc w:val="both"/>
              <w:rPr>
                <w:rFonts w:hint="default" w:ascii="Times New Roman" w:hAnsi="Times New Roman" w:cs="Times New Roman"/>
                <w:sz w:val="24"/>
                <w:szCs w:val="24"/>
                <w:vertAlign w:val="baseline"/>
              </w:rPr>
            </w:pPr>
          </w:p>
        </w:tc>
      </w:tr>
    </w:tbl>
    <w:p w14:paraId="43C207F0">
      <w:pPr>
        <w:rPr>
          <w:rFonts w:hint="default" w:ascii="Times New Roman" w:hAnsi="Times New Roman" w:cs="Times New Roman"/>
          <w:sz w:val="24"/>
          <w:szCs w:val="24"/>
        </w:rPr>
      </w:pPr>
    </w:p>
    <w:p w14:paraId="16F9BFB5">
      <w:pPr>
        <w:rPr>
          <w:rFonts w:hint="default" w:ascii="Times New Roman" w:hAnsi="Times New Roman" w:cs="Times New Roman"/>
          <w:sz w:val="24"/>
          <w:szCs w:val="24"/>
        </w:rPr>
      </w:pPr>
    </w:p>
    <w:p w14:paraId="2645949D">
      <w:pPr>
        <w:jc w:val="right"/>
        <w:rPr>
          <w:rFonts w:hint="default" w:ascii="Times New Roman" w:hAnsi="Times New Roman" w:cs="Times New Roman"/>
          <w:sz w:val="24"/>
          <w:szCs w:val="24"/>
          <w:lang w:val="en-US"/>
        </w:rPr>
      </w:pPr>
    </w:p>
    <w:p w14:paraId="675B2EAD">
      <w:pPr>
        <w:jc w:val="right"/>
        <w:rPr>
          <w:rFonts w:hint="default" w:ascii="Times New Roman" w:hAnsi="Times New Roman" w:cs="Times New Roman"/>
          <w:sz w:val="24"/>
          <w:szCs w:val="24"/>
          <w:lang w:val="en-US"/>
        </w:rPr>
      </w:pPr>
    </w:p>
    <w:p w14:paraId="61151E2C">
      <w:pPr>
        <w:jc w:val="righ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Signature of the HOD </w:t>
      </w:r>
    </w:p>
    <w:sectPr>
      <w:pgSz w:w="11906" w:h="16838"/>
      <w:pgMar w:top="12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8D0692"/>
    <w:rsid w:val="0DF42AFA"/>
    <w:rsid w:val="1BBE6041"/>
    <w:rsid w:val="5D8D0692"/>
    <w:rsid w:val="5FDE68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No Spacing"/>
    <w:qFormat/>
    <w:uiPriority w:val="1"/>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NUL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257</Words>
  <Characters>1548</Characters>
  <Lines>0</Lines>
  <Paragraphs>0</Paragraphs>
  <TotalTime>1</TotalTime>
  <ScaleCrop>false</ScaleCrop>
  <LinksUpToDate>false</LinksUpToDate>
  <CharactersWithSpaces>1890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2026-09-01T07:19:00Z</dcterms:created>
  <dc:creator>Mrs.R.NITHYA Assistant Profess</dc:creator>
  <cp:lastModifiedBy>Mrs.R.NITHYA Assistant Profess</cp:lastModifiedBy>
  <dcterms:modified xsi:type="dcterms:W3CDTF">2026-09-08T03:13:12Z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9344927B898E459099C7E6F5AD2A73EA_11</vt:lpwstr>
  </property>
  <property fmtid="{D5CDD505-2E9C-101B-9397-08002B2CF9AE}" pid="4" name="KSOTemplateDocerSaveRecord">
    <vt:lpwstr>eyJoZGlkIjoiODAyNmJiNWJhNjc4NzVlYjI4MDFjNmFjMGIxZTMwYjQiLCJ1c2VySWQiOiI1Njc1OTE2MTgxNTAifQ==</vt:lpwstr>
  </property>
</Properties>
</file>